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015" w:type="dxa"/>
        <w:jc w:val="center"/>
        <w:tblLayout w:type="fixed"/>
        <w:tblCellMar>
          <w:top w:w="0" w:type="dxa"/>
          <w:left w:w="0" w:type="dxa"/>
          <w:bottom w:w="0" w:type="dxa"/>
          <w:right w:w="0" w:type="dxa"/>
        </w:tblCellMar>
      </w:tblPr>
      <w:tblGrid>
        <w:gridCol w:w="9015"/>
      </w:tblGrid>
      <w:tr w14:paraId="7D221A92">
        <w:tblPrEx>
          <w:tblCellMar>
            <w:top w:w="0" w:type="dxa"/>
            <w:left w:w="0" w:type="dxa"/>
            <w:bottom w:w="0" w:type="dxa"/>
            <w:right w:w="0" w:type="dxa"/>
          </w:tblCellMar>
        </w:tblPrEx>
        <w:trPr>
          <w:cantSplit/>
          <w:trHeight w:val="1474" w:hRule="exact"/>
          <w:jc w:val="center"/>
        </w:trPr>
        <w:tc>
          <w:tcPr>
            <w:tcW w:w="9015" w:type="dxa"/>
            <w:tcBorders>
              <w:bottom w:val="nil"/>
            </w:tcBorders>
            <w:vAlign w:val="center"/>
          </w:tcPr>
          <w:p w14:paraId="42E598C2">
            <w:pPr>
              <w:spacing w:line="240" w:lineRule="auto"/>
              <w:ind w:firstLine="652"/>
              <w:jc w:val="right"/>
              <w:rPr>
                <w:rFonts w:eastAsia="黑体"/>
              </w:rPr>
            </w:pPr>
            <w:bookmarkStart w:id="9" w:name="_GoBack"/>
            <w:bookmarkEnd w:id="9"/>
          </w:p>
        </w:tc>
      </w:tr>
      <w:tr w14:paraId="782017AF">
        <w:tblPrEx>
          <w:tblCellMar>
            <w:top w:w="0" w:type="dxa"/>
            <w:left w:w="0" w:type="dxa"/>
            <w:bottom w:w="0" w:type="dxa"/>
            <w:right w:w="0" w:type="dxa"/>
          </w:tblCellMar>
        </w:tblPrEx>
        <w:trPr>
          <w:cantSplit/>
          <w:trHeight w:val="1644" w:hRule="exact"/>
          <w:jc w:val="center"/>
        </w:trPr>
        <w:tc>
          <w:tcPr>
            <w:tcW w:w="9015" w:type="dxa"/>
            <w:vAlign w:val="center"/>
          </w:tcPr>
          <w:p w14:paraId="206259EA">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14:paraId="72C32E01">
        <w:tblPrEx>
          <w:tblCellMar>
            <w:top w:w="0" w:type="dxa"/>
            <w:left w:w="0" w:type="dxa"/>
            <w:bottom w:w="0" w:type="dxa"/>
            <w:right w:w="0" w:type="dxa"/>
          </w:tblCellMar>
        </w:tblPrEx>
        <w:trPr>
          <w:cantSplit/>
          <w:trHeight w:val="680" w:hRule="exact"/>
          <w:jc w:val="center"/>
        </w:trPr>
        <w:tc>
          <w:tcPr>
            <w:tcW w:w="9015" w:type="dxa"/>
            <w:vAlign w:val="center"/>
          </w:tcPr>
          <w:p w14:paraId="02397ED4">
            <w:pPr>
              <w:spacing w:line="240" w:lineRule="auto"/>
              <w:jc w:val="center"/>
              <w:rPr>
                <w:b/>
                <w:color w:val="FF0000"/>
                <w:sz w:val="52"/>
              </w:rPr>
            </w:pPr>
          </w:p>
        </w:tc>
      </w:tr>
      <w:tr w14:paraId="67C2BAEF">
        <w:tblPrEx>
          <w:tblCellMar>
            <w:top w:w="0" w:type="dxa"/>
            <w:left w:w="0" w:type="dxa"/>
            <w:bottom w:w="0" w:type="dxa"/>
            <w:right w:w="0" w:type="dxa"/>
          </w:tblCellMar>
        </w:tblPrEx>
        <w:trPr>
          <w:cantSplit/>
          <w:trHeight w:val="680" w:hRule="exact"/>
          <w:jc w:val="center"/>
        </w:trPr>
        <w:tc>
          <w:tcPr>
            <w:tcW w:w="9015" w:type="dxa"/>
            <w:tcMar>
              <w:left w:w="0" w:type="dxa"/>
              <w:right w:w="0" w:type="dxa"/>
            </w:tcMar>
            <w:vAlign w:val="bottom"/>
          </w:tcPr>
          <w:p w14:paraId="44C8D5E6">
            <w:pPr>
              <w:spacing w:line="240" w:lineRule="auto"/>
              <w:jc w:val="center"/>
            </w:pPr>
            <w:bookmarkStart w:id="0" w:name="文号"/>
            <w:r>
              <w:rPr>
                <w:rFonts w:hint="eastAsia"/>
              </w:rPr>
              <w:t>浙师图文字〔2025〕1号</w:t>
            </w:r>
            <w:bookmarkEnd w:id="0"/>
          </w:p>
        </w:tc>
      </w:tr>
      <w:tr w14:paraId="391D56B6">
        <w:tblPrEx>
          <w:tblCellMar>
            <w:top w:w="0" w:type="dxa"/>
            <w:left w:w="0" w:type="dxa"/>
            <w:bottom w:w="0" w:type="dxa"/>
            <w:right w:w="0" w:type="dxa"/>
          </w:tblCellMar>
        </w:tblPrEx>
        <w:trPr>
          <w:cantSplit/>
          <w:trHeight w:val="170" w:hRule="exact"/>
          <w:jc w:val="center"/>
        </w:trPr>
        <w:tc>
          <w:tcPr>
            <w:tcW w:w="9015" w:type="dxa"/>
            <w:tcBorders>
              <w:bottom w:val="single" w:color="FF0000" w:sz="18" w:space="0"/>
            </w:tcBorders>
            <w:vAlign w:val="center"/>
          </w:tcPr>
          <w:p w14:paraId="348A4F9F">
            <w:pPr>
              <w:spacing w:line="240" w:lineRule="auto"/>
              <w:jc w:val="center"/>
              <w:rPr>
                <w:b/>
                <w:sz w:val="21"/>
              </w:rPr>
            </w:pPr>
          </w:p>
        </w:tc>
      </w:tr>
      <w:tr w14:paraId="16CE7E39">
        <w:tblPrEx>
          <w:tblCellMar>
            <w:top w:w="0" w:type="dxa"/>
            <w:left w:w="0" w:type="dxa"/>
            <w:bottom w:w="0" w:type="dxa"/>
            <w:right w:w="0" w:type="dxa"/>
          </w:tblCellMar>
        </w:tblPrEx>
        <w:trPr>
          <w:cantSplit/>
          <w:trHeight w:val="1134" w:hRule="exact"/>
          <w:jc w:val="center"/>
        </w:trPr>
        <w:tc>
          <w:tcPr>
            <w:tcW w:w="9015" w:type="dxa"/>
            <w:tcBorders>
              <w:top w:val="single" w:color="FF0000" w:sz="18" w:space="0"/>
            </w:tcBorders>
            <w:vAlign w:val="center"/>
          </w:tcPr>
          <w:p w14:paraId="359456B0">
            <w:pPr>
              <w:spacing w:line="240" w:lineRule="auto"/>
              <w:jc w:val="center"/>
              <w:rPr>
                <w:b/>
                <w:sz w:val="44"/>
              </w:rPr>
            </w:pPr>
          </w:p>
        </w:tc>
      </w:tr>
      <w:tr w14:paraId="787F15B7">
        <w:tblPrEx>
          <w:tblCellMar>
            <w:top w:w="0" w:type="dxa"/>
            <w:left w:w="0" w:type="dxa"/>
            <w:bottom w:w="0" w:type="dxa"/>
            <w:right w:w="0" w:type="dxa"/>
          </w:tblCellMar>
        </w:tblPrEx>
        <w:trPr>
          <w:cantSplit/>
          <w:trHeight w:val="567" w:hRule="atLeast"/>
          <w:jc w:val="center"/>
        </w:trPr>
        <w:tc>
          <w:tcPr>
            <w:tcW w:w="9015" w:type="dxa"/>
            <w:vAlign w:val="center"/>
          </w:tcPr>
          <w:p w14:paraId="732AD952">
            <w:pPr>
              <w:spacing w:line="640" w:lineRule="exact"/>
              <w:jc w:val="center"/>
              <w:rPr>
                <w:rFonts w:eastAsia="方正小标宋简体"/>
                <w:sz w:val="44"/>
              </w:rPr>
            </w:pPr>
            <w:bookmarkStart w:id="1" w:name="标题"/>
            <w:r>
              <w:rPr>
                <w:rFonts w:hint="eastAsia" w:eastAsia="方正小标宋简体"/>
                <w:sz w:val="44"/>
              </w:rPr>
              <w:t>浙江师范大学关于印发图书资料</w:t>
            </w:r>
          </w:p>
          <w:p w14:paraId="0ACD13D9">
            <w:pPr>
              <w:spacing w:line="640" w:lineRule="exact"/>
              <w:jc w:val="center"/>
              <w:rPr>
                <w:rFonts w:eastAsia="方正小标宋简体"/>
                <w:sz w:val="44"/>
              </w:rPr>
            </w:pPr>
            <w:r>
              <w:rPr>
                <w:rFonts w:hint="eastAsia" w:eastAsia="方正小标宋简体"/>
                <w:sz w:val="44"/>
              </w:rPr>
              <w:t>管理办法（修订）的通知</w:t>
            </w:r>
            <w:bookmarkEnd w:id="1"/>
          </w:p>
        </w:tc>
      </w:tr>
      <w:tr w14:paraId="0F7D830D">
        <w:tblPrEx>
          <w:tblCellMar>
            <w:top w:w="0" w:type="dxa"/>
            <w:left w:w="0" w:type="dxa"/>
            <w:bottom w:w="0" w:type="dxa"/>
            <w:right w:w="0" w:type="dxa"/>
          </w:tblCellMar>
        </w:tblPrEx>
        <w:trPr>
          <w:cantSplit/>
          <w:trHeight w:val="851" w:hRule="exact"/>
          <w:jc w:val="center"/>
        </w:trPr>
        <w:tc>
          <w:tcPr>
            <w:tcW w:w="9015" w:type="dxa"/>
            <w:vAlign w:val="center"/>
          </w:tcPr>
          <w:p w14:paraId="3E70FBED">
            <w:pPr>
              <w:spacing w:line="240" w:lineRule="auto"/>
              <w:jc w:val="center"/>
              <w:rPr>
                <w:b/>
                <w:sz w:val="24"/>
              </w:rPr>
            </w:pPr>
          </w:p>
        </w:tc>
      </w:tr>
      <w:tr w14:paraId="2B36CBBF">
        <w:tblPrEx>
          <w:tblCellMar>
            <w:top w:w="0" w:type="dxa"/>
            <w:left w:w="0" w:type="dxa"/>
            <w:bottom w:w="0" w:type="dxa"/>
            <w:right w:w="0" w:type="dxa"/>
          </w:tblCellMar>
        </w:tblPrEx>
        <w:trPr>
          <w:cantSplit/>
          <w:trHeight w:val="567" w:hRule="atLeast"/>
          <w:jc w:val="center"/>
        </w:trPr>
        <w:tc>
          <w:tcPr>
            <w:tcW w:w="9015" w:type="dxa"/>
            <w:vAlign w:val="center"/>
          </w:tcPr>
          <w:p w14:paraId="5D1935EE">
            <w:pPr>
              <w:spacing w:line="240" w:lineRule="auto"/>
            </w:pPr>
            <w:bookmarkStart w:id="2" w:name="主送单位"/>
            <w:r>
              <w:rPr>
                <w:rFonts w:hint="eastAsia"/>
              </w:rPr>
              <w:t>各学院、部门（单位）</w:t>
            </w:r>
            <w:bookmarkEnd w:id="2"/>
            <w:r>
              <w:t>：</w:t>
            </w:r>
          </w:p>
        </w:tc>
      </w:tr>
    </w:tbl>
    <w:p w14:paraId="56E09415">
      <w:pPr>
        <w:adjustRightInd w:val="0"/>
        <w:snapToGrid w:val="0"/>
        <w:spacing w:line="560" w:lineRule="exact"/>
        <w:ind w:firstLine="640" w:firstLineChars="200"/>
        <w:rPr>
          <w:rFonts w:cstheme="minorEastAsia"/>
        </w:rPr>
      </w:pPr>
      <w:r>
        <w:rPr>
          <w:rFonts w:hint="eastAsia" w:cstheme="minorEastAsia"/>
          <w:szCs w:val="32"/>
        </w:rPr>
        <w:t>现将《浙江师范大学图书资料管理办法（修订）》印发给你们，请遵照执行。</w:t>
      </w:r>
    </w:p>
    <w:p w14:paraId="009DC2A6">
      <w:pPr>
        <w:adjustRightInd w:val="0"/>
        <w:snapToGrid w:val="0"/>
        <w:spacing w:line="560" w:lineRule="exact"/>
        <w:rPr>
          <w:rFonts w:cstheme="minorEastAsia"/>
        </w:rPr>
      </w:pPr>
    </w:p>
    <w:p w14:paraId="3F4105B0">
      <w:pPr>
        <w:pStyle w:val="3"/>
        <w:adjustRightInd w:val="0"/>
        <w:snapToGrid w:val="0"/>
        <w:ind w:firstLine="0" w:firstLineChars="0"/>
        <w:rPr>
          <w:rFonts w:ascii="Times New Roman" w:hAnsi="Times New Roman" w:eastAsia="仿宋_GB2312" w:cs="仿宋_GB2312"/>
          <w:sz w:val="32"/>
        </w:rPr>
      </w:pPr>
    </w:p>
    <w:p w14:paraId="3C84114C">
      <w:pPr>
        <w:pStyle w:val="3"/>
        <w:adjustRightInd w:val="0"/>
        <w:snapToGrid w:val="0"/>
        <w:ind w:firstLine="0" w:firstLineChars="0"/>
        <w:rPr>
          <w:rFonts w:ascii="Times New Roman" w:hAnsi="Times New Roman" w:eastAsia="仿宋_GB2312" w:cs="仿宋_GB2312"/>
          <w:sz w:val="32"/>
        </w:rPr>
      </w:pPr>
    </w:p>
    <w:p w14:paraId="3198662E">
      <w:pPr>
        <w:adjustRightInd w:val="0"/>
        <w:snapToGrid w:val="0"/>
        <w:spacing w:line="560" w:lineRule="exact"/>
        <w:ind w:firstLine="4160" w:firstLineChars="1300"/>
        <w:jc w:val="center"/>
        <w:rPr>
          <w:rFonts w:cs="仿宋_GB2312"/>
          <w:szCs w:val="32"/>
        </w:rPr>
      </w:pPr>
      <w:r>
        <w:rPr>
          <w:rFonts w:hint="eastAsia" w:cs="仿宋_GB2312"/>
          <w:szCs w:val="32"/>
        </w:rPr>
        <w:t>浙江师范大学</w:t>
      </w:r>
    </w:p>
    <w:p w14:paraId="3E94B6D2">
      <w:pPr>
        <w:adjustRightInd w:val="0"/>
        <w:snapToGrid w:val="0"/>
        <w:spacing w:line="560" w:lineRule="exact"/>
        <w:ind w:firstLine="4160" w:firstLineChars="1300"/>
        <w:jc w:val="center"/>
        <w:rPr>
          <w:rFonts w:cs="仿宋_GB2312"/>
          <w:szCs w:val="32"/>
        </w:rPr>
      </w:pPr>
      <w:r>
        <w:rPr>
          <w:rFonts w:hint="eastAsia" w:cs="仿宋_GB2312"/>
          <w:szCs w:val="32"/>
        </w:rPr>
        <w:t>2025年1月7日</w:t>
      </w:r>
    </w:p>
    <w:p w14:paraId="6A367466">
      <w:pPr>
        <w:widowControl/>
        <w:adjustRightInd w:val="0"/>
        <w:snapToGrid w:val="0"/>
        <w:jc w:val="left"/>
      </w:pPr>
      <w:r>
        <w:rPr>
          <w:rFonts w:hint="eastAsia" w:cs="仿宋_GB2312"/>
          <w:szCs w:val="32"/>
        </w:rPr>
        <w:br w:type="page"/>
      </w:r>
    </w:p>
    <w:p w14:paraId="64518BAE">
      <w:pPr>
        <w:adjustRightInd w:val="0"/>
        <w:snapToGrid w:val="0"/>
        <w:spacing w:line="320" w:lineRule="exact"/>
        <w:rPr>
          <w:rFonts w:eastAsia="黑体"/>
          <w:szCs w:val="32"/>
        </w:rPr>
      </w:pPr>
    </w:p>
    <w:p w14:paraId="1E6F1FF6">
      <w:pPr>
        <w:adjustRightInd w:val="0"/>
        <w:snapToGrid w:val="0"/>
        <w:spacing w:line="320" w:lineRule="exact"/>
        <w:rPr>
          <w:rFonts w:eastAsia="黑体"/>
          <w:szCs w:val="32"/>
        </w:rPr>
      </w:pPr>
    </w:p>
    <w:p w14:paraId="461C4C4A">
      <w:pPr>
        <w:pStyle w:val="20"/>
        <w:shd w:val="clear" w:color="auto" w:fill="FFFFFF"/>
        <w:adjustRightInd w:val="0"/>
        <w:snapToGrid w:val="0"/>
        <w:spacing w:before="0" w:beforeAutospacing="0" w:after="0" w:afterAutospacing="0" w:line="640" w:lineRule="exact"/>
        <w:jc w:val="center"/>
        <w:rPr>
          <w:rFonts w:ascii="Times New Roman" w:hAnsi="Times New Roman" w:eastAsia="方正小标宋简体"/>
          <w:kern w:val="2"/>
          <w:sz w:val="44"/>
          <w:szCs w:val="44"/>
        </w:rPr>
      </w:pPr>
      <w:r>
        <w:rPr>
          <w:rFonts w:hint="eastAsia" w:ascii="Times New Roman" w:hAnsi="Times New Roman" w:eastAsia="方正小标宋简体"/>
          <w:kern w:val="2"/>
          <w:sz w:val="44"/>
          <w:szCs w:val="44"/>
        </w:rPr>
        <w:t>浙江师范大学图书资料管理办法（修订）</w:t>
      </w:r>
    </w:p>
    <w:p w14:paraId="46A7878D">
      <w:pPr>
        <w:adjustRightInd w:val="0"/>
        <w:snapToGrid w:val="0"/>
        <w:spacing w:line="320" w:lineRule="exact"/>
        <w:rPr>
          <w:rFonts w:eastAsia="黑体"/>
          <w:szCs w:val="32"/>
        </w:rPr>
      </w:pPr>
    </w:p>
    <w:p w14:paraId="1FE21233">
      <w:pPr>
        <w:adjustRightInd w:val="0"/>
        <w:snapToGrid w:val="0"/>
        <w:spacing w:line="320" w:lineRule="exact"/>
        <w:rPr>
          <w:rFonts w:eastAsia="黑体"/>
          <w:szCs w:val="32"/>
        </w:rPr>
      </w:pPr>
    </w:p>
    <w:p w14:paraId="24080FCE">
      <w:pPr>
        <w:adjustRightInd w:val="0"/>
        <w:snapToGrid w:val="0"/>
        <w:spacing w:before="156" w:beforeLines="50" w:after="156" w:afterLines="50" w:line="530" w:lineRule="exact"/>
        <w:jc w:val="center"/>
        <w:rPr>
          <w:rFonts w:eastAsia="黑体" w:cs="黑体"/>
          <w:szCs w:val="32"/>
        </w:rPr>
      </w:pPr>
      <w:r>
        <w:rPr>
          <w:rFonts w:hint="eastAsia" w:eastAsia="黑体" w:cs="黑体"/>
          <w:szCs w:val="32"/>
        </w:rPr>
        <w:t>第一章　总　则</w:t>
      </w:r>
    </w:p>
    <w:p w14:paraId="645314AC">
      <w:pPr>
        <w:adjustRightInd w:val="0"/>
        <w:snapToGrid w:val="0"/>
        <w:spacing w:line="530" w:lineRule="exact"/>
        <w:ind w:firstLine="640" w:firstLineChars="200"/>
        <w:rPr>
          <w:rFonts w:cstheme="minorEastAsia"/>
          <w:szCs w:val="32"/>
        </w:rPr>
      </w:pPr>
      <w:r>
        <w:rPr>
          <w:rFonts w:hint="eastAsia" w:eastAsia="黑体" w:cstheme="minorEastAsia"/>
          <w:szCs w:val="32"/>
        </w:rPr>
        <w:t>第一条</w:t>
      </w:r>
      <w:r>
        <w:rPr>
          <w:rFonts w:hint="eastAsia" w:cstheme="minorEastAsia"/>
          <w:b/>
          <w:bCs/>
          <w:szCs w:val="32"/>
        </w:rPr>
        <w:t>　</w:t>
      </w:r>
      <w:r>
        <w:rPr>
          <w:rFonts w:hint="eastAsia" w:cstheme="minorEastAsia"/>
          <w:szCs w:val="32"/>
        </w:rPr>
        <w:t>为加强图书资料管理，根据《浙江省高等学校国有资产管理办法》（浙政办发〔2013〕18号）、《浙江师范大学国有资产管理办法》（浙师公管字〔2020〕2号）等有关规定，结合学校实际，特制定本办法。</w:t>
      </w:r>
    </w:p>
    <w:p w14:paraId="624CE539">
      <w:pPr>
        <w:adjustRightInd w:val="0"/>
        <w:snapToGrid w:val="0"/>
        <w:spacing w:line="530" w:lineRule="exact"/>
        <w:ind w:firstLine="640" w:firstLineChars="200"/>
        <w:rPr>
          <w:rFonts w:cstheme="minorEastAsia"/>
          <w:szCs w:val="32"/>
        </w:rPr>
      </w:pPr>
      <w:r>
        <w:rPr>
          <w:rFonts w:hint="eastAsia" w:eastAsia="黑体" w:cstheme="minorEastAsia"/>
          <w:szCs w:val="32"/>
        </w:rPr>
        <w:t>第二条</w:t>
      </w:r>
      <w:r>
        <w:rPr>
          <w:rFonts w:hint="eastAsia" w:cstheme="minorEastAsia"/>
          <w:szCs w:val="32"/>
        </w:rPr>
        <w:t>　本管理办法适用于图文信息中心、各学院和部门（以下统称各单位）以及师生有关图书资料资产管理的行为。</w:t>
      </w:r>
    </w:p>
    <w:p w14:paraId="3B029446">
      <w:pPr>
        <w:adjustRightInd w:val="0"/>
        <w:snapToGrid w:val="0"/>
        <w:spacing w:line="530" w:lineRule="exact"/>
        <w:ind w:firstLine="640" w:firstLineChars="200"/>
        <w:rPr>
          <w:rFonts w:cstheme="minorEastAsia"/>
          <w:szCs w:val="32"/>
        </w:rPr>
      </w:pPr>
      <w:r>
        <w:rPr>
          <w:rFonts w:hint="eastAsia" w:eastAsia="黑体" w:cstheme="minorEastAsia"/>
          <w:szCs w:val="32"/>
        </w:rPr>
        <w:t>第三条</w:t>
      </w:r>
      <w:r>
        <w:rPr>
          <w:rFonts w:hint="eastAsia" w:cstheme="minorEastAsia"/>
          <w:szCs w:val="32"/>
        </w:rPr>
        <w:t>　本管理办法所称图书资料是指纸质图书、纸质报刊、特种文献（如古籍、文书、拓片等）、缩微资料、视听资料、机读资料、镜像到本地的数字资源（包括电子图书、电子期刊、数据库等）等。图书资料资产入账的具体类别按照国家相关标准执行。</w:t>
      </w:r>
    </w:p>
    <w:p w14:paraId="6CFF0FBA">
      <w:pPr>
        <w:adjustRightInd w:val="0"/>
        <w:snapToGrid w:val="0"/>
        <w:spacing w:line="530" w:lineRule="exact"/>
        <w:ind w:firstLine="640" w:firstLineChars="200"/>
        <w:rPr>
          <w:rFonts w:cstheme="minorEastAsia"/>
          <w:szCs w:val="32"/>
        </w:rPr>
      </w:pPr>
      <w:r>
        <w:rPr>
          <w:rFonts w:hint="eastAsia" w:eastAsia="黑体" w:cstheme="minorEastAsia"/>
          <w:szCs w:val="32"/>
        </w:rPr>
        <w:t>第四条</w:t>
      </w:r>
      <w:r>
        <w:rPr>
          <w:rFonts w:hint="eastAsia" w:cstheme="minorEastAsia"/>
          <w:szCs w:val="32"/>
        </w:rPr>
        <w:t>　图书资料纳入学校国有资产管理应遵循以下规定：</w:t>
      </w:r>
    </w:p>
    <w:p w14:paraId="100B4BA8">
      <w:pPr>
        <w:adjustRightInd w:val="0"/>
        <w:snapToGrid w:val="0"/>
        <w:spacing w:line="530" w:lineRule="exact"/>
        <w:ind w:firstLine="640" w:firstLineChars="200"/>
        <w:rPr>
          <w:rFonts w:cstheme="minorEastAsia"/>
          <w:szCs w:val="32"/>
        </w:rPr>
      </w:pPr>
      <w:r>
        <w:rPr>
          <w:rFonts w:hint="eastAsia" w:cstheme="minorEastAsia"/>
          <w:szCs w:val="32"/>
        </w:rPr>
        <w:t>（一）使用图书资料专项经费购置以及通过受赠、调拨等方式获取的图书资料均应纳入学校国有资产管理；</w:t>
      </w:r>
    </w:p>
    <w:p w14:paraId="1C6233E4">
      <w:pPr>
        <w:pStyle w:val="7"/>
        <w:widowControl w:val="0"/>
        <w:shd w:val="clear" w:color="auto" w:fill="FFFFFF"/>
        <w:adjustRightInd w:val="0"/>
        <w:snapToGrid w:val="0"/>
        <w:spacing w:before="0" w:beforeAutospacing="0" w:after="0" w:afterAutospacing="0" w:line="530" w:lineRule="exact"/>
        <w:ind w:firstLine="640" w:firstLineChars="200"/>
        <w:jc w:val="both"/>
        <w:rPr>
          <w:rFonts w:ascii="Times New Roman" w:hAnsi="Times New Roman" w:eastAsia="仿宋_GB2312" w:cstheme="minorEastAsia"/>
          <w:kern w:val="2"/>
          <w:sz w:val="32"/>
          <w:szCs w:val="32"/>
        </w:rPr>
      </w:pPr>
      <w:r>
        <w:rPr>
          <w:rFonts w:hint="eastAsia" w:ascii="Times New Roman" w:hAnsi="Times New Roman" w:eastAsia="仿宋_GB2312" w:cstheme="minorEastAsia"/>
          <w:kern w:val="2"/>
          <w:sz w:val="32"/>
          <w:szCs w:val="32"/>
        </w:rPr>
        <w:t>（二）使用学科建设经费、专项（综合）业务费、人才培养经费、科研经费（含参照科研经费管理的平台经费）等非图书资料专项经费（以下简称非图书资料专项经费）购置的单册（套、函）500元及以上的图书资料，应纳入学校国有资产管理；</w:t>
      </w:r>
    </w:p>
    <w:p w14:paraId="7E6D6CB8">
      <w:pPr>
        <w:adjustRightInd w:val="0"/>
        <w:snapToGrid w:val="0"/>
        <w:spacing w:line="530" w:lineRule="exact"/>
        <w:ind w:firstLine="640" w:firstLineChars="200"/>
        <w:rPr>
          <w:rFonts w:cstheme="minorEastAsia"/>
          <w:szCs w:val="32"/>
        </w:rPr>
      </w:pPr>
      <w:r>
        <w:rPr>
          <w:rFonts w:hint="eastAsia" w:cstheme="minorEastAsia"/>
          <w:szCs w:val="32"/>
        </w:rPr>
        <w:t>（三）</w:t>
      </w:r>
      <w:bookmarkStart w:id="3" w:name="_Hlk181128675"/>
      <w:r>
        <w:rPr>
          <w:rFonts w:hint="eastAsia" w:cstheme="minorEastAsia"/>
          <w:szCs w:val="32"/>
        </w:rPr>
        <w:t>使用非图书资料专项经费</w:t>
      </w:r>
      <w:bookmarkEnd w:id="3"/>
      <w:r>
        <w:rPr>
          <w:rFonts w:hint="eastAsia" w:cstheme="minorEastAsia"/>
          <w:szCs w:val="32"/>
        </w:rPr>
        <w:t>单次批量购置5000元及以上的图书资料应纳入学校国有资产管理，但根据上级文件或培训方案要求批量购置并下发的图书资料除外（须经学校相关职能部门审核）。</w:t>
      </w:r>
    </w:p>
    <w:p w14:paraId="46F0C634">
      <w:pPr>
        <w:adjustRightInd w:val="0"/>
        <w:snapToGrid w:val="0"/>
        <w:spacing w:before="156" w:beforeLines="50" w:after="156" w:afterLines="50" w:line="530" w:lineRule="exact"/>
        <w:jc w:val="center"/>
        <w:rPr>
          <w:rFonts w:eastAsia="黑体" w:cs="黑体"/>
          <w:szCs w:val="32"/>
        </w:rPr>
      </w:pPr>
      <w:r>
        <w:rPr>
          <w:rFonts w:hint="eastAsia" w:eastAsia="黑体" w:cs="黑体"/>
          <w:szCs w:val="32"/>
        </w:rPr>
        <w:t>第二章　管理体制</w:t>
      </w:r>
    </w:p>
    <w:p w14:paraId="1DF0A05E">
      <w:pPr>
        <w:adjustRightInd w:val="0"/>
        <w:snapToGrid w:val="0"/>
        <w:spacing w:line="530" w:lineRule="exact"/>
        <w:ind w:firstLine="640" w:firstLineChars="200"/>
        <w:rPr>
          <w:rFonts w:cstheme="minorEastAsia"/>
          <w:szCs w:val="32"/>
        </w:rPr>
      </w:pPr>
      <w:r>
        <w:rPr>
          <w:rFonts w:hint="eastAsia" w:eastAsia="黑体" w:cstheme="minorEastAsia"/>
          <w:szCs w:val="32"/>
        </w:rPr>
        <w:t>第五条</w:t>
      </w:r>
      <w:r>
        <w:rPr>
          <w:rFonts w:hint="eastAsia" w:cstheme="minorEastAsia"/>
          <w:szCs w:val="32"/>
        </w:rPr>
        <w:t>　图书资料管理实行“统一领导、归口管理、分级负责、责任到人”的国有资产管理体制。</w:t>
      </w:r>
    </w:p>
    <w:p w14:paraId="33450A12">
      <w:pPr>
        <w:adjustRightInd w:val="0"/>
        <w:snapToGrid w:val="0"/>
        <w:spacing w:line="530" w:lineRule="exact"/>
        <w:ind w:firstLine="640" w:firstLineChars="200"/>
        <w:rPr>
          <w:rFonts w:cstheme="minorEastAsia"/>
          <w:szCs w:val="32"/>
        </w:rPr>
      </w:pPr>
      <w:r>
        <w:rPr>
          <w:rFonts w:hint="eastAsia" w:eastAsia="黑体" w:cstheme="minorEastAsia"/>
          <w:szCs w:val="32"/>
        </w:rPr>
        <w:t>第六条</w:t>
      </w:r>
      <w:r>
        <w:rPr>
          <w:rFonts w:hint="eastAsia" w:cstheme="minorEastAsia"/>
          <w:szCs w:val="32"/>
        </w:rPr>
        <w:t>　图书资料由学校国有资产管理部门统筹管理，由图文信息中心归口管理，各单位分级负责。</w:t>
      </w:r>
    </w:p>
    <w:p w14:paraId="7AA018CC">
      <w:pPr>
        <w:adjustRightInd w:val="0"/>
        <w:snapToGrid w:val="0"/>
        <w:spacing w:line="530" w:lineRule="exact"/>
        <w:ind w:firstLine="640" w:firstLineChars="200"/>
        <w:rPr>
          <w:rFonts w:cstheme="minorEastAsia"/>
          <w:szCs w:val="32"/>
        </w:rPr>
      </w:pPr>
      <w:r>
        <w:rPr>
          <w:rFonts w:hint="eastAsia" w:eastAsia="黑体" w:cstheme="minorEastAsia"/>
          <w:szCs w:val="32"/>
        </w:rPr>
        <w:t>第七条</w:t>
      </w:r>
      <w:r>
        <w:rPr>
          <w:rFonts w:hint="eastAsia" w:cstheme="minorEastAsia"/>
          <w:szCs w:val="32"/>
        </w:rPr>
        <w:t>　图文信息中心是学校图书资料归口管理部门，主要职责是：</w:t>
      </w:r>
    </w:p>
    <w:p w14:paraId="6AE43627">
      <w:pPr>
        <w:adjustRightInd w:val="0"/>
        <w:snapToGrid w:val="0"/>
        <w:spacing w:line="530" w:lineRule="exact"/>
        <w:ind w:firstLine="640" w:firstLineChars="200"/>
        <w:rPr>
          <w:rFonts w:cstheme="minorEastAsia"/>
          <w:szCs w:val="32"/>
        </w:rPr>
      </w:pPr>
      <w:r>
        <w:rPr>
          <w:rFonts w:hint="eastAsia" w:cstheme="minorEastAsia"/>
          <w:szCs w:val="32"/>
        </w:rPr>
        <w:t>（一）负责制定学校图书资料管理办法、工作流程，并组织实施；</w:t>
      </w:r>
    </w:p>
    <w:p w14:paraId="4FFE73AC">
      <w:pPr>
        <w:adjustRightInd w:val="0"/>
        <w:snapToGrid w:val="0"/>
        <w:spacing w:line="530" w:lineRule="exact"/>
        <w:ind w:firstLine="640" w:firstLineChars="200"/>
        <w:rPr>
          <w:rFonts w:cstheme="minorEastAsia"/>
          <w:szCs w:val="32"/>
        </w:rPr>
      </w:pPr>
      <w:r>
        <w:rPr>
          <w:rFonts w:hint="eastAsia" w:cstheme="minorEastAsia"/>
          <w:szCs w:val="32"/>
        </w:rPr>
        <w:t>（二）负责规划全校图书资料的配置布局，促进全校图书资料共建共享共知；</w:t>
      </w:r>
    </w:p>
    <w:p w14:paraId="6FA870E9">
      <w:pPr>
        <w:adjustRightInd w:val="0"/>
        <w:snapToGrid w:val="0"/>
        <w:spacing w:line="530" w:lineRule="exact"/>
        <w:ind w:firstLine="640" w:firstLineChars="200"/>
        <w:rPr>
          <w:rFonts w:cstheme="minorEastAsia"/>
          <w:szCs w:val="32"/>
        </w:rPr>
      </w:pPr>
      <w:r>
        <w:rPr>
          <w:rFonts w:hint="eastAsia" w:cstheme="minorEastAsia"/>
          <w:szCs w:val="32"/>
        </w:rPr>
        <w:t>（三）负责审核学校图书资料资产入账、变动和处置等工作；</w:t>
      </w:r>
    </w:p>
    <w:p w14:paraId="2C009C46">
      <w:pPr>
        <w:adjustRightInd w:val="0"/>
        <w:snapToGrid w:val="0"/>
        <w:spacing w:line="530" w:lineRule="exact"/>
        <w:ind w:firstLine="640" w:firstLineChars="200"/>
        <w:rPr>
          <w:rFonts w:cstheme="minorEastAsia"/>
          <w:szCs w:val="32"/>
        </w:rPr>
      </w:pPr>
      <w:r>
        <w:rPr>
          <w:rFonts w:hint="eastAsia" w:cstheme="minorEastAsia"/>
          <w:szCs w:val="32"/>
        </w:rPr>
        <w:t>（四）负责组织学校图书资料资产的清查、登记、统计汇总及日常监督检查工作。</w:t>
      </w:r>
    </w:p>
    <w:p w14:paraId="2E77E633">
      <w:pPr>
        <w:adjustRightInd w:val="0"/>
        <w:snapToGrid w:val="0"/>
        <w:spacing w:line="530" w:lineRule="exact"/>
        <w:ind w:firstLine="640" w:firstLineChars="200"/>
        <w:rPr>
          <w:rFonts w:cstheme="minorEastAsia"/>
          <w:szCs w:val="32"/>
        </w:rPr>
      </w:pPr>
      <w:r>
        <w:rPr>
          <w:rFonts w:hint="eastAsia" w:eastAsia="黑体" w:cstheme="minorEastAsia"/>
          <w:szCs w:val="32"/>
        </w:rPr>
        <w:t>第八条</w:t>
      </w:r>
      <w:r>
        <w:rPr>
          <w:rFonts w:hint="eastAsia" w:cstheme="minorEastAsia"/>
          <w:szCs w:val="32"/>
        </w:rPr>
        <w:t>　各单位负责对本单位图书资料的日常管理，主要职责是：</w:t>
      </w:r>
    </w:p>
    <w:p w14:paraId="48C6F1EB">
      <w:pPr>
        <w:adjustRightInd w:val="0"/>
        <w:snapToGrid w:val="0"/>
        <w:spacing w:line="530" w:lineRule="exact"/>
        <w:ind w:firstLine="640" w:firstLineChars="200"/>
        <w:rPr>
          <w:rFonts w:cstheme="minorEastAsia"/>
          <w:szCs w:val="32"/>
        </w:rPr>
      </w:pPr>
      <w:r>
        <w:rPr>
          <w:rFonts w:hint="eastAsia" w:cstheme="minorEastAsia"/>
          <w:szCs w:val="32"/>
        </w:rPr>
        <w:t>（一）明确一名单位领导分管本单位图书资料管理工作，负责监督本单位贯彻执行学校图书资料管理各项规章制度的情况；</w:t>
      </w:r>
    </w:p>
    <w:p w14:paraId="133B917A">
      <w:pPr>
        <w:adjustRightInd w:val="0"/>
        <w:snapToGrid w:val="0"/>
        <w:spacing w:line="530" w:lineRule="exact"/>
        <w:ind w:firstLine="640" w:firstLineChars="200"/>
        <w:rPr>
          <w:rFonts w:cstheme="minorEastAsia"/>
          <w:szCs w:val="32"/>
        </w:rPr>
      </w:pPr>
      <w:r>
        <w:rPr>
          <w:rFonts w:hint="eastAsia" w:cstheme="minorEastAsia"/>
          <w:szCs w:val="32"/>
        </w:rPr>
        <w:t>（二）配备具有一定业务能力的图书资料管理员负责本单位图书资料资产入账、变动、清查、信息统计和处置等管理工作，确保图书资料资产账账、账实相符；</w:t>
      </w:r>
    </w:p>
    <w:p w14:paraId="6F48A546">
      <w:pPr>
        <w:adjustRightInd w:val="0"/>
        <w:snapToGrid w:val="0"/>
        <w:spacing w:line="530" w:lineRule="exact"/>
        <w:ind w:firstLine="640" w:firstLineChars="200"/>
        <w:rPr>
          <w:rFonts w:cstheme="minorEastAsia"/>
          <w:szCs w:val="32"/>
        </w:rPr>
      </w:pPr>
      <w:r>
        <w:rPr>
          <w:rFonts w:hint="eastAsia" w:cstheme="minorEastAsia"/>
          <w:szCs w:val="32"/>
        </w:rPr>
        <w:t>（三）协助图文信息中心完成学校图书资料管理相关工作。</w:t>
      </w:r>
    </w:p>
    <w:p w14:paraId="50F951DC">
      <w:pPr>
        <w:adjustRightInd w:val="0"/>
        <w:snapToGrid w:val="0"/>
        <w:spacing w:before="156" w:beforeLines="50" w:after="156" w:afterLines="50" w:line="530" w:lineRule="exact"/>
        <w:jc w:val="center"/>
        <w:rPr>
          <w:rFonts w:eastAsia="黑体" w:cs="黑体"/>
          <w:szCs w:val="32"/>
        </w:rPr>
      </w:pPr>
      <w:r>
        <w:rPr>
          <w:rFonts w:hint="eastAsia" w:eastAsia="黑体" w:cs="黑体"/>
          <w:szCs w:val="32"/>
        </w:rPr>
        <w:t>第三章　购置</w:t>
      </w:r>
    </w:p>
    <w:p w14:paraId="07C64043">
      <w:pPr>
        <w:adjustRightInd w:val="0"/>
        <w:snapToGrid w:val="0"/>
        <w:spacing w:line="530" w:lineRule="exact"/>
        <w:ind w:firstLine="640" w:firstLineChars="200"/>
        <w:rPr>
          <w:rFonts w:cstheme="minorEastAsia"/>
          <w:szCs w:val="32"/>
        </w:rPr>
      </w:pPr>
      <w:r>
        <w:rPr>
          <w:rFonts w:hint="eastAsia" w:eastAsia="黑体" w:cstheme="minorEastAsia"/>
          <w:szCs w:val="32"/>
        </w:rPr>
        <w:t>第九条</w:t>
      </w:r>
      <w:r>
        <w:rPr>
          <w:rFonts w:hint="eastAsia" w:cstheme="minorEastAsia"/>
          <w:szCs w:val="32"/>
        </w:rPr>
        <w:t>　应根据学校人才培养、科学研究、社会服务、文化传承创新和国际交流合作的需要，对图书资料购置进行全面规划、合理布局。</w:t>
      </w:r>
    </w:p>
    <w:p w14:paraId="5B9C0DEC">
      <w:pPr>
        <w:adjustRightInd w:val="0"/>
        <w:snapToGrid w:val="0"/>
        <w:spacing w:line="530" w:lineRule="exact"/>
        <w:ind w:firstLine="640" w:firstLineChars="200"/>
        <w:rPr>
          <w:rFonts w:cstheme="minorEastAsia"/>
          <w:szCs w:val="32"/>
        </w:rPr>
      </w:pPr>
      <w:r>
        <w:rPr>
          <w:rFonts w:hint="eastAsia" w:eastAsia="黑体" w:cstheme="minorEastAsia"/>
          <w:szCs w:val="32"/>
        </w:rPr>
        <w:t>第十条</w:t>
      </w:r>
      <w:r>
        <w:rPr>
          <w:rFonts w:hint="eastAsia" w:cstheme="minorEastAsia"/>
          <w:szCs w:val="32"/>
        </w:rPr>
        <w:t>　图书资料购置须遵照政府采购管理有关法律法规和学校采购管理规章制度规定执行。</w:t>
      </w:r>
    </w:p>
    <w:p w14:paraId="0CCF10CC">
      <w:pPr>
        <w:adjustRightInd w:val="0"/>
        <w:snapToGrid w:val="0"/>
        <w:spacing w:line="530" w:lineRule="exact"/>
        <w:ind w:firstLine="640" w:firstLineChars="200"/>
        <w:rPr>
          <w:rFonts w:cstheme="minorEastAsia"/>
          <w:szCs w:val="32"/>
        </w:rPr>
      </w:pPr>
      <w:r>
        <w:rPr>
          <w:rFonts w:hint="eastAsia" w:eastAsia="黑体" w:cstheme="minorEastAsia"/>
          <w:szCs w:val="32"/>
        </w:rPr>
        <w:t>第十一条</w:t>
      </w:r>
      <w:r>
        <w:rPr>
          <w:rFonts w:hint="eastAsia" w:cstheme="minorEastAsia"/>
          <w:szCs w:val="32"/>
        </w:rPr>
        <w:t>　购置单</w:t>
      </w:r>
      <w:bookmarkStart w:id="4" w:name="_Hlk169614952"/>
      <w:r>
        <w:rPr>
          <w:rFonts w:hint="eastAsia" w:cstheme="minorEastAsia"/>
          <w:szCs w:val="32"/>
        </w:rPr>
        <w:t>册（套、函）</w:t>
      </w:r>
      <w:bookmarkEnd w:id="4"/>
      <w:r>
        <w:rPr>
          <w:rFonts w:hint="eastAsia" w:cstheme="minorEastAsia"/>
          <w:szCs w:val="32"/>
        </w:rPr>
        <w:t>20000元及以上的图书资料前，须经图文信息中心审核，购置遵循不重复和经论证原则。</w:t>
      </w:r>
    </w:p>
    <w:p w14:paraId="7EC41176">
      <w:pPr>
        <w:adjustRightInd w:val="0"/>
        <w:snapToGrid w:val="0"/>
        <w:spacing w:line="530" w:lineRule="exact"/>
        <w:ind w:firstLine="640" w:firstLineChars="200"/>
        <w:rPr>
          <w:rFonts w:cstheme="minorEastAsia"/>
          <w:szCs w:val="32"/>
        </w:rPr>
      </w:pPr>
      <w:r>
        <w:rPr>
          <w:rFonts w:hint="eastAsia" w:eastAsia="黑体" w:cstheme="minorEastAsia"/>
          <w:szCs w:val="32"/>
        </w:rPr>
        <w:t>第十二条</w:t>
      </w:r>
      <w:r>
        <w:rPr>
          <w:rFonts w:hint="eastAsia" w:cstheme="minorEastAsia"/>
          <w:szCs w:val="32"/>
        </w:rPr>
        <w:t>　图文信息中心及各单位应按照学校采购管理、财务管理、合同管理等规章制度要求做好本单位图书资料购置相关材料的存档工作。</w:t>
      </w:r>
    </w:p>
    <w:p w14:paraId="42DED447">
      <w:pPr>
        <w:adjustRightInd w:val="0"/>
        <w:snapToGrid w:val="0"/>
        <w:spacing w:before="156" w:beforeLines="50" w:after="156" w:afterLines="50" w:line="530" w:lineRule="exact"/>
        <w:jc w:val="center"/>
        <w:rPr>
          <w:rFonts w:eastAsia="黑体" w:cs="黑体"/>
          <w:szCs w:val="32"/>
        </w:rPr>
      </w:pPr>
      <w:r>
        <w:rPr>
          <w:rFonts w:hint="eastAsia" w:eastAsia="黑体" w:cs="黑体"/>
          <w:szCs w:val="32"/>
        </w:rPr>
        <w:t>第四章　验收和入账</w:t>
      </w:r>
    </w:p>
    <w:p w14:paraId="79827DBC">
      <w:pPr>
        <w:adjustRightInd w:val="0"/>
        <w:snapToGrid w:val="0"/>
        <w:spacing w:line="530" w:lineRule="exact"/>
        <w:ind w:firstLine="640" w:firstLineChars="200"/>
        <w:rPr>
          <w:rFonts w:cstheme="minorEastAsia"/>
          <w:szCs w:val="32"/>
        </w:rPr>
      </w:pPr>
      <w:r>
        <w:rPr>
          <w:rFonts w:hint="eastAsia" w:eastAsia="黑体" w:cstheme="minorEastAsia"/>
          <w:szCs w:val="32"/>
        </w:rPr>
        <w:t>第十三条</w:t>
      </w:r>
      <w:r>
        <w:rPr>
          <w:rFonts w:hint="eastAsia" w:cstheme="minorEastAsia"/>
          <w:szCs w:val="32"/>
        </w:rPr>
        <w:t>　图文信息中心及各单位购置、纳入国有资产管理的图书资料须办理验收和资产入账手续，具体按如下方式处理：</w:t>
      </w:r>
    </w:p>
    <w:p w14:paraId="1E1E7C40">
      <w:pPr>
        <w:adjustRightInd w:val="0"/>
        <w:snapToGrid w:val="0"/>
        <w:spacing w:line="530" w:lineRule="exact"/>
        <w:ind w:firstLine="640" w:firstLineChars="200"/>
        <w:rPr>
          <w:rFonts w:cstheme="minorEastAsia"/>
          <w:szCs w:val="32"/>
        </w:rPr>
      </w:pPr>
      <w:r>
        <w:rPr>
          <w:rFonts w:hint="eastAsia" w:cstheme="minorEastAsia"/>
          <w:szCs w:val="32"/>
        </w:rPr>
        <w:t>（一）纸质报刊凭采购发票、采购清单等材料至计财处办理报销手续，报销时暂不计入图书资料资产账。纸质报刊装订成合订本后，经管理人员验收无误后，分年度按合订本册数在“图书资料管理系统”登记入账，凭经单位领导审核的验收单至计财处办理转入图书资料资产入账手续。当年新增合订本数量以1月1日至12月31日装订的合订本为准，按纸质报刊实际订购费用加上相关装订费用入账。</w:t>
      </w:r>
    </w:p>
    <w:p w14:paraId="12916CE8">
      <w:pPr>
        <w:adjustRightInd w:val="0"/>
        <w:snapToGrid w:val="0"/>
        <w:spacing w:line="530" w:lineRule="exact"/>
        <w:ind w:firstLine="640" w:firstLineChars="200"/>
        <w:rPr>
          <w:rFonts w:cstheme="minorEastAsia"/>
          <w:szCs w:val="32"/>
        </w:rPr>
      </w:pPr>
      <w:r>
        <w:rPr>
          <w:rFonts w:hint="eastAsia" w:cstheme="minorEastAsia"/>
          <w:szCs w:val="32"/>
        </w:rPr>
        <w:t>（二）纸质报刊以外的图书资料经管理人员验收无误后，在“图书资料管理系统”登记入账</w:t>
      </w:r>
      <w:bookmarkStart w:id="5" w:name="_Hlk169613492"/>
      <w:r>
        <w:rPr>
          <w:rFonts w:hint="eastAsia" w:cstheme="minorEastAsia"/>
          <w:szCs w:val="32"/>
        </w:rPr>
        <w:t>，凭经单位领导审核的验收单</w:t>
      </w:r>
      <w:bookmarkEnd w:id="5"/>
      <w:r>
        <w:rPr>
          <w:rFonts w:hint="eastAsia" w:cstheme="minorEastAsia"/>
          <w:szCs w:val="32"/>
        </w:rPr>
        <w:t>、采购发票、采购清单等材料至计财处办理报销入账手续。</w:t>
      </w:r>
    </w:p>
    <w:p w14:paraId="700BC8F6">
      <w:pPr>
        <w:adjustRightInd w:val="0"/>
        <w:snapToGrid w:val="0"/>
        <w:spacing w:line="530" w:lineRule="exact"/>
        <w:ind w:firstLine="640" w:firstLineChars="200"/>
        <w:rPr>
          <w:rFonts w:cstheme="minorEastAsia"/>
          <w:szCs w:val="32"/>
        </w:rPr>
      </w:pPr>
      <w:r>
        <w:rPr>
          <w:rFonts w:hint="eastAsia" w:eastAsia="黑体" w:cstheme="minorEastAsia"/>
          <w:szCs w:val="32"/>
        </w:rPr>
        <w:t>第十四条</w:t>
      </w:r>
      <w:r>
        <w:rPr>
          <w:rFonts w:hint="eastAsia" w:cstheme="minorEastAsia"/>
          <w:szCs w:val="32"/>
        </w:rPr>
        <w:t>　凡是学校</w:t>
      </w:r>
      <w:bookmarkStart w:id="6" w:name="_Hlk169700676"/>
      <w:r>
        <w:rPr>
          <w:rFonts w:hint="eastAsia" w:cstheme="minorEastAsia"/>
          <w:szCs w:val="32"/>
        </w:rPr>
        <w:t>资助（或奖励）</w:t>
      </w:r>
      <w:bookmarkEnd w:id="6"/>
      <w:r>
        <w:rPr>
          <w:rFonts w:hint="eastAsia" w:cstheme="minorEastAsia"/>
          <w:szCs w:val="32"/>
        </w:rPr>
        <w:t>出版的图书资料，受资助（奖励）者须提供一定数量留存学校，具体数量和留存方式由组织资助（奖励）的部门确定，其中2册（套、函）转由图文信息中心收藏，按名义价格1元办理入账。</w:t>
      </w:r>
    </w:p>
    <w:p w14:paraId="0F29668D">
      <w:pPr>
        <w:adjustRightInd w:val="0"/>
        <w:snapToGrid w:val="0"/>
        <w:spacing w:line="530" w:lineRule="exact"/>
        <w:ind w:firstLine="640" w:firstLineChars="200"/>
        <w:rPr>
          <w:rFonts w:cstheme="minorEastAsia"/>
          <w:szCs w:val="32"/>
        </w:rPr>
      </w:pPr>
      <w:r>
        <w:rPr>
          <w:rFonts w:hint="eastAsia" w:eastAsia="黑体" w:cstheme="minorEastAsia"/>
          <w:szCs w:val="32"/>
        </w:rPr>
        <w:t>第十五条</w:t>
      </w:r>
      <w:r>
        <w:rPr>
          <w:rFonts w:hint="eastAsia" w:cstheme="minorEastAsia"/>
          <w:szCs w:val="32"/>
        </w:rPr>
        <w:t>　图文信息中心及各单位接受捐赠的图书资料应按年度汇总，在图书资料管理系统登记入账，验收单经单位领导审核后至计财处办理图书资料入资产账手续，按名义价格1元入账。接受捐赠的期刊如装订则按年度纳入学校国有资产管理，补登入图书资料资产账，价格按装订费计算。</w:t>
      </w:r>
    </w:p>
    <w:p w14:paraId="424FF954">
      <w:pPr>
        <w:adjustRightInd w:val="0"/>
        <w:snapToGrid w:val="0"/>
        <w:spacing w:before="156" w:beforeLines="50" w:after="156" w:afterLines="50" w:line="530" w:lineRule="exact"/>
        <w:jc w:val="center"/>
        <w:rPr>
          <w:rFonts w:eastAsia="黑体" w:cs="黑体"/>
          <w:szCs w:val="32"/>
        </w:rPr>
      </w:pPr>
      <w:r>
        <w:rPr>
          <w:rFonts w:hint="eastAsia" w:eastAsia="黑体" w:cs="黑体"/>
          <w:szCs w:val="32"/>
        </w:rPr>
        <w:t>第五章　日常管理和处置</w:t>
      </w:r>
    </w:p>
    <w:p w14:paraId="111CD7A5">
      <w:pPr>
        <w:adjustRightInd w:val="0"/>
        <w:snapToGrid w:val="0"/>
        <w:spacing w:line="530" w:lineRule="exact"/>
        <w:ind w:firstLine="640" w:firstLineChars="200"/>
        <w:rPr>
          <w:rFonts w:cstheme="minorEastAsia"/>
          <w:szCs w:val="32"/>
        </w:rPr>
      </w:pPr>
      <w:r>
        <w:rPr>
          <w:rFonts w:hint="eastAsia" w:eastAsia="黑体" w:cstheme="minorEastAsia"/>
          <w:szCs w:val="32"/>
        </w:rPr>
        <w:t>第十六条</w:t>
      </w:r>
      <w:r>
        <w:rPr>
          <w:rFonts w:hint="eastAsia" w:cstheme="minorEastAsia"/>
          <w:szCs w:val="32"/>
        </w:rPr>
        <w:t>　图文信息中心负责协调纳入学校国有资产管理的纸质图书和纸质报刊编目工作。</w:t>
      </w:r>
    </w:p>
    <w:p w14:paraId="1A899D66">
      <w:pPr>
        <w:adjustRightInd w:val="0"/>
        <w:snapToGrid w:val="0"/>
        <w:spacing w:line="530" w:lineRule="exact"/>
        <w:ind w:firstLine="640" w:firstLineChars="200"/>
        <w:rPr>
          <w:rFonts w:cstheme="minorEastAsia"/>
          <w:szCs w:val="32"/>
        </w:rPr>
      </w:pPr>
      <w:r>
        <w:rPr>
          <w:rFonts w:hint="eastAsia" w:eastAsia="黑体" w:cstheme="minorEastAsia"/>
          <w:szCs w:val="32"/>
        </w:rPr>
        <w:t>第十七条</w:t>
      </w:r>
      <w:r>
        <w:rPr>
          <w:rFonts w:hint="eastAsia" w:cstheme="minorEastAsia"/>
          <w:szCs w:val="32"/>
        </w:rPr>
        <w:t>　图文信息中心购置、纳入学校国有资产管理的图书资料原则上由图文信息中心收藏，并负责日常管理和借阅工作；各单位购置、纳入学校国有资产管理的图书资料原则上由各单位收藏，并负责日常管理和借阅工作，无法管理的交由图文信息中心统一管理。</w:t>
      </w:r>
    </w:p>
    <w:p w14:paraId="2C681E55">
      <w:pPr>
        <w:adjustRightInd w:val="0"/>
        <w:snapToGrid w:val="0"/>
        <w:spacing w:line="530" w:lineRule="exact"/>
        <w:ind w:firstLine="640" w:firstLineChars="200"/>
        <w:rPr>
          <w:rFonts w:cstheme="minorEastAsia"/>
          <w:szCs w:val="32"/>
        </w:rPr>
      </w:pPr>
      <w:r>
        <w:rPr>
          <w:rFonts w:hint="eastAsia" w:eastAsia="黑体" w:cstheme="minorEastAsia"/>
          <w:szCs w:val="32"/>
        </w:rPr>
        <w:t>第十八条</w:t>
      </w:r>
      <w:r>
        <w:rPr>
          <w:rFonts w:hint="eastAsia" w:cstheme="minorEastAsia"/>
          <w:szCs w:val="32"/>
        </w:rPr>
        <w:t>　使用非图书资料专项经费购置并纳入学校国有资产管理的图书资料，购置申请人可优先借阅，应办理借阅手续，可选择长期使用。借阅人在办理毕业、调动、退休等离校手续时，须全部归还图文信息中心或各单位资料室。</w:t>
      </w:r>
    </w:p>
    <w:p w14:paraId="31607946">
      <w:pPr>
        <w:adjustRightInd w:val="0"/>
        <w:snapToGrid w:val="0"/>
        <w:spacing w:line="530" w:lineRule="exact"/>
        <w:ind w:firstLine="640" w:firstLineChars="200"/>
        <w:rPr>
          <w:rFonts w:cstheme="minorEastAsia"/>
          <w:szCs w:val="32"/>
        </w:rPr>
      </w:pPr>
      <w:r>
        <w:rPr>
          <w:rFonts w:hint="eastAsia" w:eastAsia="黑体" w:cstheme="minorEastAsia"/>
          <w:szCs w:val="32"/>
        </w:rPr>
        <w:t>第十九条</w:t>
      </w:r>
      <w:r>
        <w:rPr>
          <w:rFonts w:hint="eastAsia" w:cstheme="minorEastAsia"/>
          <w:szCs w:val="32"/>
        </w:rPr>
        <w:t>　各单位购置、镜像到本地的数字资源原则上须交由图文信息中心备份，并交付资源清单等相关资料。</w:t>
      </w:r>
    </w:p>
    <w:p w14:paraId="5D193677">
      <w:pPr>
        <w:adjustRightInd w:val="0"/>
        <w:snapToGrid w:val="0"/>
        <w:spacing w:line="530" w:lineRule="exact"/>
        <w:ind w:firstLine="640" w:firstLineChars="200"/>
        <w:rPr>
          <w:rFonts w:cstheme="minorEastAsia"/>
          <w:szCs w:val="32"/>
        </w:rPr>
      </w:pPr>
      <w:r>
        <w:rPr>
          <w:rFonts w:hint="eastAsia" w:eastAsia="黑体" w:cstheme="minorEastAsia"/>
          <w:szCs w:val="32"/>
        </w:rPr>
        <w:t>第二十条</w:t>
      </w:r>
      <w:r>
        <w:rPr>
          <w:rFonts w:hint="eastAsia" w:cstheme="minorEastAsia"/>
          <w:szCs w:val="32"/>
        </w:rPr>
        <w:t>　负责保管图书资料资产的单位，每年年终应对所管理图书资料资产进行清点、报损，相关损失按图文信息中心《遗失、损坏图书、报刊赔偿办法》规定执行。</w:t>
      </w:r>
    </w:p>
    <w:p w14:paraId="2B4B4A60">
      <w:pPr>
        <w:adjustRightInd w:val="0"/>
        <w:snapToGrid w:val="0"/>
        <w:spacing w:line="530" w:lineRule="exact"/>
        <w:ind w:firstLine="640" w:firstLineChars="200"/>
        <w:rPr>
          <w:rFonts w:cstheme="minorEastAsia"/>
          <w:szCs w:val="32"/>
        </w:rPr>
      </w:pPr>
      <w:r>
        <w:rPr>
          <w:rFonts w:hint="eastAsia" w:eastAsia="黑体" w:cstheme="minorEastAsia"/>
          <w:szCs w:val="32"/>
        </w:rPr>
        <w:t>第二十一条</w:t>
      </w:r>
      <w:r>
        <w:rPr>
          <w:rFonts w:hint="eastAsia" w:cstheme="minorEastAsia"/>
          <w:b/>
          <w:bCs/>
          <w:szCs w:val="32"/>
        </w:rPr>
        <w:t>　</w:t>
      </w:r>
      <w:r>
        <w:rPr>
          <w:rFonts w:hint="eastAsia" w:cstheme="minorEastAsia"/>
          <w:szCs w:val="32"/>
        </w:rPr>
        <w:t>图书资料资产处置须严格按照《浙江师范大学国有资产管理办法》（浙师公管字〔2020〕2号）规定的处置程序和要求执行。</w:t>
      </w:r>
    </w:p>
    <w:p w14:paraId="027101DF">
      <w:pPr>
        <w:adjustRightInd w:val="0"/>
        <w:snapToGrid w:val="0"/>
        <w:spacing w:line="530" w:lineRule="exact"/>
        <w:ind w:firstLine="640" w:firstLineChars="200"/>
        <w:rPr>
          <w:rFonts w:cstheme="minorEastAsia"/>
          <w:szCs w:val="32"/>
        </w:rPr>
      </w:pPr>
      <w:r>
        <w:rPr>
          <w:rFonts w:hint="eastAsia" w:eastAsia="黑体" w:cstheme="minorEastAsia"/>
          <w:szCs w:val="32"/>
        </w:rPr>
        <w:t>第二十二条</w:t>
      </w:r>
      <w:r>
        <w:rPr>
          <w:rFonts w:hint="eastAsia" w:cstheme="minorEastAsia"/>
          <w:szCs w:val="32"/>
        </w:rPr>
        <w:t>　对于在图书资料购置、入账、处置等环节弄虚作假、违反财经纪律的行为，将视情节轻重予以严肃处理。</w:t>
      </w:r>
    </w:p>
    <w:p w14:paraId="446175F1">
      <w:pPr>
        <w:adjustRightInd w:val="0"/>
        <w:snapToGrid w:val="0"/>
        <w:spacing w:before="156" w:beforeLines="50" w:after="156" w:afterLines="50" w:line="530" w:lineRule="exact"/>
        <w:jc w:val="center"/>
        <w:rPr>
          <w:rFonts w:eastAsia="黑体" w:cs="黑体"/>
          <w:szCs w:val="32"/>
        </w:rPr>
      </w:pPr>
      <w:r>
        <w:rPr>
          <w:rFonts w:hint="eastAsia" w:eastAsia="黑体" w:cs="黑体"/>
          <w:szCs w:val="32"/>
        </w:rPr>
        <w:t>第六章　附则</w:t>
      </w:r>
    </w:p>
    <w:p w14:paraId="69F685A7">
      <w:pPr>
        <w:adjustRightInd w:val="0"/>
        <w:snapToGrid w:val="0"/>
        <w:spacing w:line="530" w:lineRule="exact"/>
        <w:ind w:firstLine="640" w:firstLineChars="200"/>
        <w:rPr>
          <w:rFonts w:cstheme="minorEastAsia"/>
          <w:szCs w:val="32"/>
        </w:rPr>
      </w:pPr>
      <w:r>
        <w:rPr>
          <w:rFonts w:hint="eastAsia" w:eastAsia="黑体" w:cstheme="minorEastAsia"/>
          <w:szCs w:val="32"/>
        </w:rPr>
        <w:t>第二十三条</w:t>
      </w:r>
      <w:r>
        <w:rPr>
          <w:rFonts w:hint="eastAsia" w:cstheme="minorEastAsia"/>
          <w:szCs w:val="32"/>
        </w:rPr>
        <w:t>　本办法未尽事宜，按照浙江师范大学国有资产管理的有关规定执行。若上级主管部门另有规定的，按上级主管部门规定执行。</w:t>
      </w:r>
    </w:p>
    <w:p w14:paraId="3172461D">
      <w:pPr>
        <w:adjustRightInd w:val="0"/>
        <w:snapToGrid w:val="0"/>
        <w:spacing w:line="530" w:lineRule="exact"/>
        <w:ind w:firstLine="640" w:firstLineChars="200"/>
        <w:rPr>
          <w:rFonts w:cstheme="minorEastAsia"/>
          <w:szCs w:val="32"/>
        </w:rPr>
      </w:pPr>
      <w:r>
        <w:rPr>
          <w:rFonts w:hint="eastAsia" w:eastAsia="黑体" w:cstheme="minorEastAsia"/>
          <w:szCs w:val="32"/>
        </w:rPr>
        <w:t>第二十四条</w:t>
      </w:r>
      <w:r>
        <w:rPr>
          <w:rFonts w:hint="eastAsia" w:cstheme="minorEastAsia"/>
          <w:b/>
          <w:bCs/>
          <w:szCs w:val="32"/>
        </w:rPr>
        <w:t>　</w:t>
      </w:r>
      <w:r>
        <w:rPr>
          <w:rFonts w:hint="eastAsia" w:cstheme="minorEastAsia"/>
          <w:szCs w:val="32"/>
        </w:rPr>
        <w:t>本办法自公布之日起施行，由图文信息中心负责解释，《浙江师范大学图书资料管理办法》（浙师公管字〔2019〕4号）同时废止。</w:t>
      </w:r>
    </w:p>
    <w:p w14:paraId="426BFCC5">
      <w:pPr>
        <w:adjustRightInd w:val="0"/>
        <w:snapToGrid w:val="0"/>
      </w:pPr>
    </w:p>
    <w:tbl>
      <w:tblPr>
        <w:tblStyle w:val="9"/>
        <w:tblpPr w:leftFromText="181" w:rightFromText="181" w:horzAnchor="margin" w:tblpYSpec="bottom"/>
        <w:tblW w:w="0" w:type="auto"/>
        <w:tblInd w:w="0" w:type="dxa"/>
        <w:tblLayout w:type="fixed"/>
        <w:tblCellMar>
          <w:top w:w="0" w:type="dxa"/>
          <w:left w:w="0" w:type="dxa"/>
          <w:bottom w:w="0" w:type="dxa"/>
          <w:right w:w="0" w:type="dxa"/>
        </w:tblCellMar>
      </w:tblPr>
      <w:tblGrid>
        <w:gridCol w:w="4511"/>
        <w:gridCol w:w="4512"/>
      </w:tblGrid>
      <w:tr w14:paraId="55D03ECE">
        <w:tblPrEx>
          <w:tblCellMar>
            <w:top w:w="0" w:type="dxa"/>
            <w:left w:w="0" w:type="dxa"/>
            <w:bottom w:w="0" w:type="dxa"/>
            <w:right w:w="0" w:type="dxa"/>
          </w:tblCellMar>
        </w:tblPrEx>
        <w:trPr>
          <w:cantSplit/>
          <w:trHeight w:val="567" w:hRule="atLeast"/>
        </w:trPr>
        <w:tc>
          <w:tcPr>
            <w:tcW w:w="9023" w:type="dxa"/>
            <w:gridSpan w:val="2"/>
            <w:tcBorders>
              <w:top w:val="single" w:color="auto" w:sz="8" w:space="0"/>
              <w:bottom w:val="single" w:color="auto" w:sz="4" w:space="0"/>
            </w:tcBorders>
            <w:vAlign w:val="center"/>
          </w:tcPr>
          <w:p w14:paraId="1F5332CA">
            <w:pPr>
              <w:adjustRightInd w:val="0"/>
              <w:snapToGrid w:val="0"/>
              <w:spacing w:line="240" w:lineRule="auto"/>
              <w:jc w:val="left"/>
              <w:rPr>
                <w:sz w:val="28"/>
              </w:rPr>
            </w:pPr>
            <w:r>
              <w:rPr>
                <w:sz w:val="28"/>
              </w:rPr>
              <w:t>　抄送：</w:t>
            </w:r>
            <w:bookmarkStart w:id="7" w:name="抄送单位"/>
            <w:r>
              <w:rPr>
                <w:rFonts w:hint="eastAsia"/>
                <w:sz w:val="28"/>
              </w:rPr>
              <w:t>各党委、党总支，行知学院。</w:t>
            </w:r>
            <w:bookmarkEnd w:id="7"/>
          </w:p>
        </w:tc>
      </w:tr>
      <w:tr w14:paraId="77FEA587">
        <w:tblPrEx>
          <w:tblCellMar>
            <w:top w:w="0" w:type="dxa"/>
            <w:left w:w="0" w:type="dxa"/>
            <w:bottom w:w="0" w:type="dxa"/>
            <w:right w:w="0" w:type="dxa"/>
          </w:tblCellMar>
        </w:tblPrEx>
        <w:trPr>
          <w:cantSplit/>
          <w:trHeight w:val="567" w:hRule="exact"/>
        </w:trPr>
        <w:tc>
          <w:tcPr>
            <w:tcW w:w="4511" w:type="dxa"/>
            <w:tcBorders>
              <w:top w:val="single" w:color="auto" w:sz="4" w:space="0"/>
              <w:bottom w:val="single" w:color="auto" w:sz="8" w:space="0"/>
            </w:tcBorders>
            <w:vAlign w:val="center"/>
          </w:tcPr>
          <w:p w14:paraId="3106535B">
            <w:pPr>
              <w:adjustRightInd w:val="0"/>
              <w:snapToGrid w:val="0"/>
              <w:spacing w:line="240" w:lineRule="auto"/>
              <w:rPr>
                <w:sz w:val="28"/>
              </w:rPr>
            </w:pPr>
            <w:r>
              <w:rPr>
                <w:sz w:val="28"/>
              </w:rPr>
              <w:t>　</w:t>
            </w:r>
            <w:r>
              <w:rPr>
                <w:rFonts w:hint="eastAsia"/>
                <w:sz w:val="28"/>
              </w:rPr>
              <w:t>浙江师范大学办公室</w:t>
            </w:r>
          </w:p>
        </w:tc>
        <w:tc>
          <w:tcPr>
            <w:tcW w:w="4512" w:type="dxa"/>
            <w:tcBorders>
              <w:top w:val="single" w:color="auto" w:sz="4" w:space="0"/>
              <w:bottom w:val="single" w:color="auto" w:sz="8" w:space="0"/>
            </w:tcBorders>
            <w:vAlign w:val="center"/>
          </w:tcPr>
          <w:p w14:paraId="5AB8A0D3">
            <w:pPr>
              <w:adjustRightInd w:val="0"/>
              <w:snapToGrid w:val="0"/>
              <w:spacing w:line="240" w:lineRule="auto"/>
              <w:ind w:right="320" w:rightChars="100"/>
              <w:jc w:val="right"/>
              <w:rPr>
                <w:sz w:val="28"/>
              </w:rPr>
            </w:pPr>
            <w:bookmarkStart w:id="8" w:name="印发日期"/>
            <w:r>
              <w:rPr>
                <w:rFonts w:hint="eastAsia" w:hAnsi="宋体" w:cs="宋体"/>
                <w:kern w:val="0"/>
                <w:sz w:val="28"/>
              </w:rPr>
              <w:t>2025年1月7日</w:t>
            </w:r>
            <w:bookmarkEnd w:id="8"/>
            <w:r>
              <w:rPr>
                <w:rFonts w:hAnsi="宋体" w:cs="宋体"/>
                <w:kern w:val="0"/>
                <w:sz w:val="28"/>
              </w:rPr>
              <w:t>印发</w:t>
            </w:r>
          </w:p>
        </w:tc>
      </w:tr>
    </w:tbl>
    <w:p w14:paraId="29C5AB8E">
      <w:pPr>
        <w:adjustRightInd w:val="0"/>
        <w:snapToGrid w:val="0"/>
      </w:pPr>
    </w:p>
    <w:sectPr>
      <w:footerReference r:id="rId5" w:type="default"/>
      <w:footerReference r:id="rId6" w:type="even"/>
      <w:pgSz w:w="11906" w:h="16838"/>
      <w:pgMar w:top="1928" w:right="1418" w:bottom="1985" w:left="1474" w:header="851" w:footer="153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FD30B">
    <w:pPr>
      <w:pStyle w:val="5"/>
      <w:wordWrap w:val="0"/>
      <w:ind w:right="11"/>
      <w:jc w:val="right"/>
      <w:rPr>
        <w:rFonts w:ascii="楷体_GB2312" w:eastAsia="楷体_GB2312"/>
        <w:sz w:val="28"/>
      </w:rPr>
    </w:pPr>
    <w:r>
      <w:rPr>
        <w:rStyle w:val="11"/>
        <w:rFonts w:hint="eastAsia" w:eastAsia="楷体_GB2312"/>
        <w:sz w:val="28"/>
      </w:rPr>
      <w:t xml:space="preserve">— </w:t>
    </w:r>
    <w:r>
      <w:rPr>
        <w:rFonts w:ascii="Times New Roman" w:hAnsi="Times New Roman" w:eastAsia="楷体_GB2312" w:cs="Times New Roman"/>
        <w:sz w:val="28"/>
      </w:rPr>
      <w:fldChar w:fldCharType="begin"/>
    </w:r>
    <w:r>
      <w:rPr>
        <w:rStyle w:val="11"/>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1</w:t>
    </w:r>
    <w:r>
      <w:rPr>
        <w:rFonts w:ascii="Times New Roman" w:hAnsi="Times New Roman" w:eastAsia="楷体_GB2312" w:cs="Times New Roman"/>
        <w:sz w:val="28"/>
      </w:rPr>
      <w:fldChar w:fldCharType="end"/>
    </w:r>
    <w:r>
      <w:rPr>
        <w:rFonts w:hint="eastAsia" w:eastAsia="楷体_GB2312"/>
        <w:sz w:val="28"/>
      </w:rPr>
      <w:t xml:space="preserve"> </w:t>
    </w:r>
    <w:r>
      <w:rPr>
        <w:rStyle w:val="11"/>
        <w:rFonts w:hint="eastAsia" w:eastAsia="楷体_GB2312"/>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1970979"/>
      <w:docPartObj>
        <w:docPartGallery w:val="AutoText"/>
      </w:docPartObj>
    </w:sdtPr>
    <w:sdtContent>
      <w:p w14:paraId="0968921C">
        <w:pPr>
          <w:pStyle w:val="5"/>
          <w:ind w:left="320" w:leftChars="100"/>
          <w:rPr>
            <w:rFonts w:eastAsia="楷体_GB2312"/>
            <w:sz w:val="28"/>
          </w:rPr>
        </w:pPr>
        <w:r>
          <w:rPr>
            <w:rStyle w:val="11"/>
            <w:rFonts w:hint="eastAsia" w:eastAsia="楷体_GB2312"/>
            <w:sz w:val="28"/>
          </w:rPr>
          <w:t xml:space="preserve">— </w:t>
        </w:r>
        <w:r>
          <w:rPr>
            <w:rFonts w:ascii="Times New Roman" w:hAnsi="Times New Roman" w:eastAsia="楷体_GB2312" w:cs="Times New Roman"/>
            <w:sz w:val="28"/>
          </w:rPr>
          <w:fldChar w:fldCharType="begin"/>
        </w:r>
        <w:r>
          <w:rPr>
            <w:rStyle w:val="11"/>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2</w:t>
        </w:r>
        <w:r>
          <w:rPr>
            <w:rFonts w:ascii="Times New Roman" w:hAnsi="Times New Roman" w:eastAsia="楷体_GB2312" w:cs="Times New Roman"/>
            <w:sz w:val="28"/>
          </w:rPr>
          <w:fldChar w:fldCharType="end"/>
        </w:r>
        <w:r>
          <w:rPr>
            <w:rFonts w:hint="eastAsia" w:eastAsia="楷体_GB2312"/>
            <w:sz w:val="28"/>
          </w:rPr>
          <w:t xml:space="preserve"> </w:t>
        </w:r>
        <w:r>
          <w:rPr>
            <w:rStyle w:val="11"/>
            <w:rFonts w:hint="eastAsia" w:eastAsia="楷体_GB2312"/>
            <w:sz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pro.zjnu.edu.cn/weaver/weaver.file.FileDownloadForNews?uuid=678babbc-3574-4738-812e-34868c90ffce&amp;fileid=397872&amp;type=document&amp;isofficeview=0"/>
  </w:docVars>
  <w:rsids>
    <w:rsidRoot w:val="007A71A9"/>
    <w:rsid w:val="000C2BCB"/>
    <w:rsid w:val="00111DCA"/>
    <w:rsid w:val="00166614"/>
    <w:rsid w:val="001E3E44"/>
    <w:rsid w:val="0023353A"/>
    <w:rsid w:val="00236CA2"/>
    <w:rsid w:val="002D4483"/>
    <w:rsid w:val="00320259"/>
    <w:rsid w:val="00375DDB"/>
    <w:rsid w:val="00411D5B"/>
    <w:rsid w:val="004610CE"/>
    <w:rsid w:val="00502892"/>
    <w:rsid w:val="006172E5"/>
    <w:rsid w:val="00624D25"/>
    <w:rsid w:val="0067244B"/>
    <w:rsid w:val="00714394"/>
    <w:rsid w:val="007A71A9"/>
    <w:rsid w:val="00845280"/>
    <w:rsid w:val="00883D43"/>
    <w:rsid w:val="00992B26"/>
    <w:rsid w:val="009C523D"/>
    <w:rsid w:val="00A31469"/>
    <w:rsid w:val="00AE0ACC"/>
    <w:rsid w:val="00B7021F"/>
    <w:rsid w:val="00B73BE4"/>
    <w:rsid w:val="00C51482"/>
    <w:rsid w:val="00D9466D"/>
    <w:rsid w:val="00DE51E4"/>
    <w:rsid w:val="00E37EDB"/>
    <w:rsid w:val="00E45A11"/>
    <w:rsid w:val="00EC7C65"/>
    <w:rsid w:val="00EF4C67"/>
    <w:rsid w:val="00F030F1"/>
    <w:rsid w:val="05276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szCs w:val="20"/>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Body Text Indent"/>
    <w:basedOn w:val="1"/>
    <w:link w:val="19"/>
    <w:qFormat/>
    <w:uiPriority w:val="0"/>
    <w:pPr>
      <w:spacing w:line="560" w:lineRule="exact"/>
      <w:ind w:firstLine="628" w:firstLineChars="200"/>
    </w:pPr>
    <w:rPr>
      <w:rFonts w:asciiTheme="minorHAnsi" w:hAnsiTheme="minorHAnsi" w:eastAsiaTheme="minorEastAsia" w:cstheme="minorBidi"/>
      <w:sz w:val="21"/>
      <w:szCs w:val="32"/>
    </w:rPr>
  </w:style>
  <w:style w:type="paragraph" w:styleId="4">
    <w:name w:val="Balloon Text"/>
    <w:basedOn w:val="1"/>
    <w:link w:val="17"/>
    <w:semiHidden/>
    <w:unhideWhenUsed/>
    <w:uiPriority w:val="99"/>
    <w:pPr>
      <w:spacing w:line="240" w:lineRule="auto"/>
    </w:pPr>
    <w:rPr>
      <w:sz w:val="18"/>
      <w:szCs w:val="18"/>
    </w:rPr>
  </w:style>
  <w:style w:type="paragraph" w:styleId="5">
    <w:name w:val="footer"/>
    <w:basedOn w:val="1"/>
    <w:link w:val="14"/>
    <w:unhideWhenUsed/>
    <w:uiPriority w:val="0"/>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6">
    <w:name w:val="header"/>
    <w:basedOn w:val="1"/>
    <w:link w:val="13"/>
    <w:unhideWhenUsed/>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7">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8">
    <w:name w:val="annotation subject"/>
    <w:basedOn w:val="2"/>
    <w:next w:val="2"/>
    <w:link w:val="16"/>
    <w:semiHidden/>
    <w:unhideWhenUsed/>
    <w:uiPriority w:val="99"/>
    <w:rPr>
      <w:b/>
      <w:bCs/>
    </w:rPr>
  </w:style>
  <w:style w:type="character" w:styleId="11">
    <w:name w:val="page number"/>
    <w:basedOn w:val="10"/>
    <w:qFormat/>
    <w:uiPriority w:val="0"/>
  </w:style>
  <w:style w:type="character" w:styleId="12">
    <w:name w:val="annotation reference"/>
    <w:basedOn w:val="10"/>
    <w:semiHidden/>
    <w:unhideWhenUsed/>
    <w:uiPriority w:val="99"/>
    <w:rPr>
      <w:sz w:val="21"/>
      <w:szCs w:val="21"/>
    </w:rPr>
  </w:style>
  <w:style w:type="character" w:customStyle="1" w:styleId="13">
    <w:name w:val="页眉 字符"/>
    <w:basedOn w:val="10"/>
    <w:link w:val="6"/>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批注文字 字符"/>
    <w:basedOn w:val="10"/>
    <w:link w:val="2"/>
    <w:semiHidden/>
    <w:uiPriority w:val="99"/>
    <w:rPr>
      <w:rFonts w:ascii="Times New Roman" w:hAnsi="Times New Roman" w:eastAsia="仿宋_GB2312" w:cs="Times New Roman"/>
      <w:sz w:val="32"/>
      <w:szCs w:val="20"/>
    </w:rPr>
  </w:style>
  <w:style w:type="character" w:customStyle="1" w:styleId="16">
    <w:name w:val="批注主题 字符"/>
    <w:basedOn w:val="15"/>
    <w:link w:val="8"/>
    <w:semiHidden/>
    <w:uiPriority w:val="99"/>
    <w:rPr>
      <w:rFonts w:ascii="Times New Roman" w:hAnsi="Times New Roman" w:eastAsia="仿宋_GB2312" w:cs="Times New Roman"/>
      <w:b/>
      <w:bCs/>
      <w:sz w:val="32"/>
      <w:szCs w:val="20"/>
    </w:rPr>
  </w:style>
  <w:style w:type="character" w:customStyle="1" w:styleId="17">
    <w:name w:val="批注框文本 字符"/>
    <w:basedOn w:val="10"/>
    <w:link w:val="4"/>
    <w:semiHidden/>
    <w:uiPriority w:val="99"/>
    <w:rPr>
      <w:rFonts w:ascii="Times New Roman" w:hAnsi="Times New Roman" w:eastAsia="仿宋_GB2312" w:cs="Times New Roman"/>
      <w:sz w:val="18"/>
      <w:szCs w:val="18"/>
    </w:rPr>
  </w:style>
  <w:style w:type="paragraph" w:customStyle="1" w:styleId="18">
    <w:name w:val="Revision"/>
    <w:hidden/>
    <w:semiHidden/>
    <w:uiPriority w:val="99"/>
    <w:rPr>
      <w:rFonts w:ascii="Times New Roman" w:hAnsi="Times New Roman" w:eastAsia="仿宋_GB2312" w:cs="Times New Roman"/>
      <w:kern w:val="2"/>
      <w:sz w:val="32"/>
      <w:szCs w:val="20"/>
      <w:lang w:val="en-US" w:eastAsia="zh-CN" w:bidi="ar-SA"/>
    </w:rPr>
  </w:style>
  <w:style w:type="character" w:customStyle="1" w:styleId="19">
    <w:name w:val="正文文本缩进 字符"/>
    <w:basedOn w:val="10"/>
    <w:link w:val="3"/>
    <w:uiPriority w:val="0"/>
    <w:rPr>
      <w:szCs w:val="32"/>
    </w:rPr>
  </w:style>
  <w:style w:type="paragraph" w:customStyle="1" w:styleId="20">
    <w:name w:val="cjk"/>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2480</Words>
  <Characters>2513</Characters>
  <Lines>18</Lines>
  <Paragraphs>5</Paragraphs>
  <TotalTime>7</TotalTime>
  <ScaleCrop>false</ScaleCrop>
  <LinksUpToDate>false</LinksUpToDate>
  <CharactersWithSpaces>2546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2025-01-08T06:55:00Z</dcterms:created>
  <dc:creator>艾国成</dc:creator>
  <cp:lastModifiedBy>张晓洁</cp:lastModifiedBy>
  <dcterms:modified xsi:type="dcterms:W3CDTF">2025-02-25T08:02:16Z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EF289CCDE65F4CD9B291E5C1E4FDB555_12</vt:lpwstr>
  </property>
</Properties>
</file>